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AD404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A7796C">
              <w:rPr>
                <w:szCs w:val="28"/>
              </w:rPr>
              <w:t xml:space="preserve">                               </w:t>
            </w:r>
            <w:r w:rsidR="00AD4049">
              <w:rPr>
                <w:szCs w:val="28"/>
              </w:rPr>
              <w:t xml:space="preserve">от </w:t>
            </w:r>
            <w:r w:rsidR="00DD3B46">
              <w:rPr>
                <w:szCs w:val="28"/>
              </w:rPr>
              <w:t xml:space="preserve"> </w:t>
            </w:r>
            <w:r w:rsidR="00AD4049">
              <w:rPr>
                <w:szCs w:val="28"/>
              </w:rPr>
              <w:t xml:space="preserve">                   </w:t>
            </w:r>
            <w:r w:rsidR="00BF5424">
              <w:rPr>
                <w:szCs w:val="28"/>
              </w:rPr>
              <w:t xml:space="preserve"> </w:t>
            </w:r>
            <w:r w:rsidR="00AD4049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                                          </w:t>
            </w:r>
          </w:p>
        </w:tc>
      </w:tr>
    </w:tbl>
    <w:p w:rsidR="001D3E8B" w:rsidRDefault="001D3E8B" w:rsidP="001D3E8B">
      <w:pPr>
        <w:ind w:left="3600"/>
        <w:rPr>
          <w:szCs w:val="28"/>
          <w:lang w:eastAsia="ar-SA"/>
        </w:rPr>
      </w:pPr>
    </w:p>
    <w:p w:rsidR="001D3E8B" w:rsidRDefault="001D3E8B" w:rsidP="001D3E8B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1D3E8B" w:rsidRDefault="001D3E8B" w:rsidP="001D3E8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1D3E8B" w:rsidRDefault="001D3E8B" w:rsidP="00AD4049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462006" w:rsidRDefault="00462006" w:rsidP="0046200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расходования и учета субсидии  из областного бюджета 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</w:t>
      </w:r>
      <w:hyperlink r:id="rId7" w:history="1">
        <w:r w:rsidRPr="00850AED">
          <w:rPr>
            <w:szCs w:val="28"/>
          </w:rPr>
          <w:t>подпрограммы</w:t>
        </w:r>
      </w:hyperlink>
      <w:r>
        <w:rPr>
          <w:szCs w:val="28"/>
        </w:rPr>
        <w:t xml:space="preserve">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</w:t>
      </w:r>
    </w:p>
    <w:p w:rsidR="00AD4049" w:rsidRDefault="00AD4049" w:rsidP="00462006">
      <w:pPr>
        <w:ind w:firstLine="851"/>
        <w:jc w:val="center"/>
        <w:rPr>
          <w:szCs w:val="28"/>
        </w:rPr>
      </w:pPr>
    </w:p>
    <w:p w:rsidR="00462006" w:rsidRDefault="001D3E8B" w:rsidP="008B0C4E">
      <w:pPr>
        <w:ind w:firstLine="851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</w:t>
      </w:r>
      <w:r w:rsidR="00BF5424">
        <w:rPr>
          <w:szCs w:val="28"/>
        </w:rPr>
        <w:t xml:space="preserve">с постановлением Администрации Волгоградской </w:t>
      </w:r>
      <w:r w:rsidR="007559B6">
        <w:rPr>
          <w:szCs w:val="28"/>
        </w:rPr>
        <w:t xml:space="preserve">от 08 февраля 2016 г. </w:t>
      </w:r>
      <w:bookmarkStart w:id="0" w:name="_GoBack"/>
      <w:bookmarkEnd w:id="0"/>
      <w:r w:rsidR="00462006">
        <w:rPr>
          <w:szCs w:val="28"/>
        </w:rPr>
        <w:t xml:space="preserve">№ 46-п </w:t>
      </w:r>
      <w:r w:rsidR="00CB69BA">
        <w:rPr>
          <w:szCs w:val="28"/>
        </w:rPr>
        <w:t>«</w:t>
      </w:r>
      <w:r w:rsidR="00CB69BA">
        <w:rPr>
          <w:szCs w:val="28"/>
        </w:rPr>
        <w:t xml:space="preserve">Об утверждении государственной программы </w:t>
      </w:r>
      <w:r w:rsidR="00462006">
        <w:rPr>
          <w:szCs w:val="28"/>
        </w:rPr>
        <w:t>«Обеспечение доступным и комфортным жильем жителей Волгоградской области».</w:t>
      </w:r>
    </w:p>
    <w:p w:rsidR="001D3E8B" w:rsidRDefault="001D3E8B" w:rsidP="008B0C4E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Настоящий Порядок устанавливает правила учета и расходования средств субсидии из областного бюджета, в том числе источником финансового обеспечения которой является субсидия из федерального бюджета,  бюджету городского округа</w:t>
      </w:r>
      <w:r w:rsidR="00375605">
        <w:rPr>
          <w:szCs w:val="28"/>
        </w:rPr>
        <w:t xml:space="preserve"> город Михайловка Волгоградской области</w:t>
      </w:r>
      <w:r>
        <w:rPr>
          <w:szCs w:val="28"/>
        </w:rPr>
        <w:t xml:space="preserve"> </w:t>
      </w:r>
      <w:r w:rsidR="00462006">
        <w:rPr>
          <w:szCs w:val="28"/>
        </w:rPr>
        <w:t xml:space="preserve"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</w:t>
      </w:r>
      <w:hyperlink r:id="rId8" w:history="1">
        <w:r w:rsidR="00462006" w:rsidRPr="00850AED">
          <w:rPr>
            <w:szCs w:val="28"/>
          </w:rPr>
          <w:t>подпрограммы</w:t>
        </w:r>
      </w:hyperlink>
      <w:r w:rsidR="00462006">
        <w:rPr>
          <w:szCs w:val="28"/>
        </w:rPr>
        <w:t xml:space="preserve"> "Молодой семье - доступное жилье" государственной программы Волгоградской области "Обеспечение</w:t>
      </w:r>
      <w:proofErr w:type="gramEnd"/>
      <w:r w:rsidR="00462006">
        <w:rPr>
          <w:szCs w:val="28"/>
        </w:rPr>
        <w:t xml:space="preserve"> доступным и комфортным жильем жителей Волгоградской области" </w:t>
      </w:r>
      <w:r>
        <w:rPr>
          <w:szCs w:val="28"/>
        </w:rPr>
        <w:t>(далее - субсидия).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3. Субсидия отражается в доходах бюджета городского округа город Михайловка Волгоградской области по соответствующим кодам бюджетной классификации с отражением кода цели в пределах суммы, необходимой для оплаты денежных обязательств.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Pr="00BE7BFB">
        <w:rPr>
          <w:szCs w:val="28"/>
        </w:rPr>
        <w:t xml:space="preserve"> </w:t>
      </w:r>
      <w:r>
        <w:rPr>
          <w:szCs w:val="28"/>
        </w:rPr>
        <w:t>Главным распорядителем средств субсидии является администрация городского округа город Михайловка Волгоградской области (далее – администрация).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5. Учет операций по использованию средств субсидии осуществляется на лицевом счете администрации, открытом в Управлении Федерального казначейства по Волгоградской области (далее – УФК).</w:t>
      </w:r>
    </w:p>
    <w:p w:rsidR="001D3E8B" w:rsidRDefault="00AB3A38" w:rsidP="00880D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1D3E8B">
        <w:rPr>
          <w:szCs w:val="28"/>
        </w:rPr>
        <w:t>6. Ср</w:t>
      </w:r>
      <w:r w:rsidR="00375605">
        <w:rPr>
          <w:szCs w:val="28"/>
        </w:rPr>
        <w:t xml:space="preserve">едства субсидии направляются </w:t>
      </w:r>
      <w:r w:rsidR="00F607CB">
        <w:rPr>
          <w:szCs w:val="28"/>
        </w:rPr>
        <w:t xml:space="preserve">на предоставление социальных </w:t>
      </w:r>
      <w:proofErr w:type="gramStart"/>
      <w:r w:rsidR="00F607CB">
        <w:rPr>
          <w:szCs w:val="28"/>
        </w:rPr>
        <w:t>выплат</w:t>
      </w:r>
      <w:proofErr w:type="gramEnd"/>
      <w:r w:rsidR="00F607CB">
        <w:rPr>
          <w:szCs w:val="28"/>
        </w:rPr>
        <w:t xml:space="preserve"> на приобретение жилого помещения или создание объекта индивидуального жилищного строительства</w:t>
      </w:r>
      <w:r w:rsidR="00F607CB" w:rsidRPr="00F607CB">
        <w:rPr>
          <w:szCs w:val="28"/>
        </w:rPr>
        <w:t xml:space="preserve"> </w:t>
      </w:r>
      <w:r w:rsidR="00F607CB">
        <w:rPr>
          <w:szCs w:val="28"/>
        </w:rPr>
        <w:t>молодым семьям</w:t>
      </w:r>
      <w:r w:rsidR="00F607CB">
        <w:rPr>
          <w:szCs w:val="28"/>
        </w:rPr>
        <w:t>, включенным в список молодых семей – претендентов на получение социальных выплат в соответствующем году.</w:t>
      </w:r>
    </w:p>
    <w:p w:rsidR="001D3E8B" w:rsidRDefault="001D3E8B" w:rsidP="001D3E8B">
      <w:pPr>
        <w:ind w:firstLine="851"/>
        <w:jc w:val="both"/>
        <w:rPr>
          <w:szCs w:val="28"/>
          <w:lang w:eastAsia="ar-SA"/>
        </w:rPr>
      </w:pPr>
      <w:r>
        <w:rPr>
          <w:szCs w:val="28"/>
        </w:rPr>
        <w:t>7. При финансировании за счет средств субсидии:</w:t>
      </w:r>
    </w:p>
    <w:p w:rsidR="00F607CB" w:rsidRDefault="00F607C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</w:p>
    <w:p w:rsidR="00F607CB" w:rsidRDefault="00F607C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-финансовый отдел администрации городского округа город</w:t>
      </w:r>
      <w:r w:rsidRPr="00416FF1">
        <w:rPr>
          <w:szCs w:val="28"/>
        </w:rPr>
        <w:t xml:space="preserve"> </w:t>
      </w:r>
      <w:r>
        <w:rPr>
          <w:szCs w:val="28"/>
        </w:rPr>
        <w:t>Михайловка Волгоградской области  при получении заявок на кассовый расход оформляет и представляет в УФК расходные расписания для зачисления доведенных объемов финансирования на лицевой счет главного распорядителя средств субсидии,  открытый ему в УФК;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 главный распорядитель средств субсидии представляет в УФК расходные расписания для зачисления предельных объемов финансирования на лицевые счета  получателей бюджетных средств.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Получатель бюджетных средств вместе с платежными документами (заявкой на кассовый расход) для осуществления целевых расходов  представляет в УФК документы, предусмотренные порядком проведения санкционирования оплаты денежных обязательств по расходам. Платежные документы (заявка на кассовый расход) должны содержать код цели, а также наличие в структуре кода целевой статьи направление расходов соответствующее коду цели.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Уполномоченный орган по взаимодействию с комитетом </w:t>
      </w:r>
      <w:r w:rsidR="00E51C0E">
        <w:rPr>
          <w:szCs w:val="28"/>
        </w:rPr>
        <w:t>строительства</w:t>
      </w:r>
      <w:r w:rsidR="00DF198C">
        <w:rPr>
          <w:szCs w:val="28"/>
        </w:rPr>
        <w:t xml:space="preserve"> </w:t>
      </w:r>
      <w:r>
        <w:rPr>
          <w:szCs w:val="28"/>
        </w:rPr>
        <w:t xml:space="preserve">Волгоградской области (далее – </w:t>
      </w:r>
      <w:r w:rsidR="00E51C0E">
        <w:rPr>
          <w:szCs w:val="28"/>
        </w:rPr>
        <w:t>К</w:t>
      </w:r>
      <w:r>
        <w:rPr>
          <w:szCs w:val="28"/>
        </w:rPr>
        <w:t xml:space="preserve">омитет)  представляет в </w:t>
      </w:r>
      <w:r w:rsidR="00E51C0E">
        <w:rPr>
          <w:szCs w:val="28"/>
        </w:rPr>
        <w:t>К</w:t>
      </w:r>
      <w:r>
        <w:rPr>
          <w:szCs w:val="28"/>
        </w:rPr>
        <w:t>омитет</w:t>
      </w:r>
      <w:r w:rsidR="00F607CB">
        <w:rPr>
          <w:szCs w:val="28"/>
        </w:rPr>
        <w:t xml:space="preserve"> в сроки и </w:t>
      </w:r>
      <w:r>
        <w:rPr>
          <w:szCs w:val="28"/>
        </w:rPr>
        <w:t xml:space="preserve">по формам, </w:t>
      </w:r>
      <w:r w:rsidR="00F607CB">
        <w:rPr>
          <w:szCs w:val="28"/>
        </w:rPr>
        <w:t>установленным Соглашением о предоставлении субсидии</w:t>
      </w:r>
      <w:r>
        <w:rPr>
          <w:szCs w:val="28"/>
        </w:rPr>
        <w:t>: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отчет об осуществлении расходов местного бюджета, источником финансового обеспечения которых является субсидия;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отчет о достижении результата использования субсидии.</w:t>
      </w:r>
    </w:p>
    <w:p w:rsidR="00E51C0E" w:rsidRDefault="00E51C0E" w:rsidP="00E51C0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Не использованный на 01 января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1D3E8B" w:rsidRDefault="00E51C0E" w:rsidP="001D3E8B">
      <w:pPr>
        <w:ind w:firstLine="851"/>
        <w:jc w:val="both"/>
        <w:rPr>
          <w:szCs w:val="28"/>
          <w:lang w:eastAsia="ar-SA"/>
        </w:rPr>
      </w:pPr>
      <w:r>
        <w:rPr>
          <w:szCs w:val="28"/>
        </w:rPr>
        <w:t>10</w:t>
      </w:r>
      <w:r w:rsidR="001D3E8B">
        <w:rPr>
          <w:szCs w:val="28"/>
        </w:rPr>
        <w:t>. Администрация обеспечивает контроль целевого и эффективного использования субсидии.</w:t>
      </w:r>
    </w:p>
    <w:p w:rsidR="001D3E8B" w:rsidRDefault="001D3E8B" w:rsidP="001D3E8B">
      <w:pPr>
        <w:ind w:firstLine="851"/>
        <w:jc w:val="both"/>
        <w:rPr>
          <w:color w:val="FF0000"/>
          <w:szCs w:val="28"/>
        </w:rPr>
      </w:pPr>
      <w:r w:rsidRPr="00E51C0E">
        <w:rPr>
          <w:szCs w:val="28"/>
        </w:rPr>
        <w:t xml:space="preserve"> </w:t>
      </w:r>
      <w:r>
        <w:rPr>
          <w:color w:val="FF0000"/>
          <w:szCs w:val="28"/>
        </w:rPr>
        <w:t xml:space="preserve">              </w:t>
      </w:r>
    </w:p>
    <w:p w:rsidR="001D3E8B" w:rsidRPr="00E70AAA" w:rsidRDefault="001D3E8B" w:rsidP="001D3E8B"/>
    <w:p w:rsidR="0074404D" w:rsidRDefault="007559B6"/>
    <w:sectPr w:rsidR="0074404D" w:rsidSect="001E4B3A">
      <w:headerReference w:type="even" r:id="rId9"/>
      <w:headerReference w:type="default" r:id="rId10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B" w:rsidRDefault="001D3E8B" w:rsidP="001D3E8B">
      <w:r>
        <w:separator/>
      </w:r>
    </w:p>
  </w:endnote>
  <w:endnote w:type="continuationSeparator" w:id="0">
    <w:p w:rsidR="001D3E8B" w:rsidRDefault="001D3E8B" w:rsidP="001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B" w:rsidRDefault="001D3E8B" w:rsidP="001D3E8B">
      <w:r>
        <w:separator/>
      </w:r>
    </w:p>
  </w:footnote>
  <w:footnote w:type="continuationSeparator" w:id="0">
    <w:p w:rsidR="001D3E8B" w:rsidRDefault="001D3E8B" w:rsidP="001D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755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9B6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755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1D3E8B"/>
    <w:rsid w:val="001E4B3A"/>
    <w:rsid w:val="00254A79"/>
    <w:rsid w:val="002B508E"/>
    <w:rsid w:val="00375605"/>
    <w:rsid w:val="003C108B"/>
    <w:rsid w:val="00462006"/>
    <w:rsid w:val="006332D2"/>
    <w:rsid w:val="007559B6"/>
    <w:rsid w:val="00880DB0"/>
    <w:rsid w:val="008B0C4E"/>
    <w:rsid w:val="00907B9F"/>
    <w:rsid w:val="00A251C8"/>
    <w:rsid w:val="00A7796C"/>
    <w:rsid w:val="00AB3A38"/>
    <w:rsid w:val="00AD4049"/>
    <w:rsid w:val="00BF5424"/>
    <w:rsid w:val="00C32138"/>
    <w:rsid w:val="00CB69BA"/>
    <w:rsid w:val="00DD3B46"/>
    <w:rsid w:val="00DF198C"/>
    <w:rsid w:val="00DF2D39"/>
    <w:rsid w:val="00E44844"/>
    <w:rsid w:val="00E51C0E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7D0CF8B6A4BE3A00B5B2AAF5755E45EA20EAE0C7F23EA9351992E9C09378DDAB8EF8EDD3B6898444970D3391FBDDDDD0CF37938DE4FCDADCF014DI1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7D0CF8B6A4BE3A00B5B2AAF5755E45EA20EAE0C7F23EA9351992E9C09378DDAB8EF8EDD3B6898444970D3391FBDDDDD0CF37938DE4FCDADCF014DI1x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18</cp:revision>
  <cp:lastPrinted>2021-02-09T07:05:00Z</cp:lastPrinted>
  <dcterms:created xsi:type="dcterms:W3CDTF">2020-04-29T12:51:00Z</dcterms:created>
  <dcterms:modified xsi:type="dcterms:W3CDTF">2021-02-09T07:10:00Z</dcterms:modified>
</cp:coreProperties>
</file>